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8AE" w14:textId="77777777" w:rsidR="00AC7E28" w:rsidRPr="00AC7E28" w:rsidRDefault="00AC7E28" w:rsidP="00AC7E28">
      <w:pPr>
        <w:pStyle w:val="Zkladntext30"/>
        <w:jc w:val="right"/>
        <w:rPr>
          <w:rFonts w:ascii="Arial" w:hAnsi="Arial" w:cs="Arial"/>
          <w:smallCaps/>
          <w:color w:val="01579B"/>
          <w:sz w:val="24"/>
          <w:szCs w:val="24"/>
        </w:rPr>
      </w:pPr>
      <w:r w:rsidRPr="00AC7E28">
        <w:rPr>
          <w:rFonts w:ascii="Arial" w:hAnsi="Arial" w:cs="Arial"/>
          <w:smallCaps/>
          <w:color w:val="01579B"/>
          <w:sz w:val="24"/>
          <w:szCs w:val="24"/>
        </w:rPr>
        <w:t>Formulár pre správcu bytového domu alebo spoločenstvo vlastníkov</w:t>
      </w:r>
    </w:p>
    <w:p w14:paraId="66D70A8D" w14:textId="77777777" w:rsidR="00AC7E28" w:rsidRPr="00AC7E28" w:rsidRDefault="00AC7E28" w:rsidP="00AC7E28">
      <w:pPr>
        <w:pStyle w:val="Zkladntext30"/>
        <w:jc w:val="right"/>
        <w:rPr>
          <w:rFonts w:ascii="Arial" w:hAnsi="Arial" w:cs="Arial"/>
          <w:smallCaps/>
          <w:color w:val="01579B"/>
          <w:sz w:val="24"/>
          <w:szCs w:val="24"/>
        </w:rPr>
      </w:pPr>
      <w:r w:rsidRPr="00AC7E28">
        <w:rPr>
          <w:rFonts w:ascii="Arial" w:hAnsi="Arial" w:cs="Arial"/>
          <w:smallCaps/>
          <w:color w:val="01579B"/>
          <w:sz w:val="24"/>
          <w:szCs w:val="24"/>
        </w:rPr>
        <w:t>bytov a nebytových priestorov</w:t>
      </w:r>
    </w:p>
    <w:p w14:paraId="62BCC06D" w14:textId="77777777" w:rsidR="00AC7E28" w:rsidRPr="00AC7E28" w:rsidRDefault="00AC7E28" w:rsidP="00AC7E28">
      <w:pPr>
        <w:pStyle w:val="Zkladntext30"/>
        <w:jc w:val="right"/>
        <w:rPr>
          <w:rFonts w:ascii="Arial" w:hAnsi="Arial" w:cs="Arial"/>
          <w:smallCaps/>
          <w:color w:val="01579B"/>
          <w:sz w:val="32"/>
          <w:szCs w:val="32"/>
        </w:rPr>
      </w:pPr>
    </w:p>
    <w:p w14:paraId="7E2F0370" w14:textId="77777777" w:rsidR="00AC7E28" w:rsidRPr="00AC7E28" w:rsidRDefault="00AC7E28" w:rsidP="00AC7E28">
      <w:pPr>
        <w:pStyle w:val="Zkladntext30"/>
        <w:jc w:val="center"/>
        <w:rPr>
          <w:rFonts w:ascii="Arial" w:hAnsi="Arial" w:cs="Arial"/>
          <w:smallCaps/>
          <w:color w:val="01579B"/>
          <w:sz w:val="28"/>
          <w:szCs w:val="28"/>
        </w:rPr>
      </w:pPr>
      <w:r w:rsidRPr="00AC7E28">
        <w:rPr>
          <w:rFonts w:ascii="Arial" w:hAnsi="Arial" w:cs="Arial"/>
          <w:smallCaps/>
          <w:color w:val="01579B"/>
          <w:spacing w:val="20"/>
          <w:sz w:val="28"/>
          <w:szCs w:val="28"/>
        </w:rPr>
        <w:t>Žiadosť o zmenu distribučnej sadzby</w:t>
      </w:r>
    </w:p>
    <w:p w14:paraId="6CA3EAD4" w14:textId="77777777" w:rsidR="00AC7E28" w:rsidRPr="003C6A6D" w:rsidRDefault="00AC7E28" w:rsidP="00AC7E28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3C6A6D">
        <w:rPr>
          <w:rFonts w:ascii="Arial" w:hAnsi="Arial" w:cs="Arial"/>
          <w:sz w:val="20"/>
          <w:szCs w:val="20"/>
          <w:lang w:val="sk-SK"/>
        </w:rPr>
        <w:t>(pre odberateľov elektriny v domácnosti a pre odberné miesta spoločných častí a zariadení bytového domu)</w:t>
      </w:r>
    </w:p>
    <w:p w14:paraId="6774ACB1" w14:textId="77777777" w:rsidR="00AC7E28" w:rsidRPr="003C6A6D" w:rsidRDefault="00AC7E28" w:rsidP="00AC7E28">
      <w:pPr>
        <w:jc w:val="center"/>
        <w:rPr>
          <w:rFonts w:ascii="Arial" w:hAnsi="Arial" w:cs="Arial"/>
          <w:lang w:val="sk-SK"/>
        </w:rPr>
      </w:pPr>
    </w:p>
    <w:p w14:paraId="0211EEE0" w14:textId="77777777" w:rsidR="00AC7E28" w:rsidRPr="00AC7E28" w:rsidRDefault="00AC7E28" w:rsidP="00AC7E28">
      <w:pPr>
        <w:pStyle w:val="Nzovtabuky0"/>
        <w:ind w:left="58"/>
        <w:rPr>
          <w:caps/>
          <w:color w:val="01579B"/>
        </w:rPr>
      </w:pPr>
      <w:r w:rsidRPr="00AC7E28">
        <w:rPr>
          <w:caps/>
          <w:color w:val="01579B"/>
        </w:rPr>
        <w:t>Identifikačné Údaje žiadateľa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7"/>
        <w:gridCol w:w="4484"/>
      </w:tblGrid>
      <w:tr w:rsidR="00AC7E28" w:rsidRPr="003C6A6D" w14:paraId="2EB511FD" w14:textId="77777777" w:rsidTr="006F4C2F">
        <w:tc>
          <w:tcPr>
            <w:tcW w:w="4537" w:type="dxa"/>
          </w:tcPr>
          <w:p w14:paraId="0505C26C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 xml:space="preserve">Meno a priezvisko / Obchodné meno :  </w:t>
            </w:r>
          </w:p>
        </w:tc>
        <w:tc>
          <w:tcPr>
            <w:tcW w:w="4484" w:type="dxa"/>
          </w:tcPr>
          <w:p w14:paraId="490061CF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</w:p>
        </w:tc>
      </w:tr>
      <w:tr w:rsidR="00AC7E28" w:rsidRPr="00AC7E28" w14:paraId="1E26AAF8" w14:textId="77777777" w:rsidTr="006F4C2F">
        <w:tc>
          <w:tcPr>
            <w:tcW w:w="4537" w:type="dxa"/>
          </w:tcPr>
          <w:p w14:paraId="737FF29F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>Dátum narodenia / IČO :</w:t>
            </w:r>
          </w:p>
        </w:tc>
        <w:tc>
          <w:tcPr>
            <w:tcW w:w="4484" w:type="dxa"/>
          </w:tcPr>
          <w:p w14:paraId="0E8BA431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3763AF9F" w14:textId="77777777" w:rsidTr="006F4C2F">
        <w:tc>
          <w:tcPr>
            <w:tcW w:w="4537" w:type="dxa"/>
          </w:tcPr>
          <w:p w14:paraId="4C79A44A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IČ DPH : </w:t>
            </w:r>
          </w:p>
        </w:tc>
        <w:tc>
          <w:tcPr>
            <w:tcW w:w="4484" w:type="dxa"/>
          </w:tcPr>
          <w:p w14:paraId="71A08D90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>DIČ :</w:t>
            </w:r>
          </w:p>
        </w:tc>
      </w:tr>
      <w:tr w:rsidR="00AC7E28" w:rsidRPr="00AC7E28" w14:paraId="0BA85325" w14:textId="77777777" w:rsidTr="003C6A6D">
        <w:tc>
          <w:tcPr>
            <w:tcW w:w="9021" w:type="dxa"/>
            <w:gridSpan w:val="2"/>
            <w:shd w:val="clear" w:color="auto" w:fill="EDEDED" w:themeFill="text2" w:themeFillTint="33"/>
          </w:tcPr>
          <w:p w14:paraId="0655263B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Bydlisko / Sídlo organizácie</w:t>
            </w:r>
          </w:p>
        </w:tc>
      </w:tr>
      <w:tr w:rsidR="00AC7E28" w:rsidRPr="00AC7E28" w14:paraId="4C03E08A" w14:textId="77777777" w:rsidTr="006F4C2F">
        <w:tc>
          <w:tcPr>
            <w:tcW w:w="4537" w:type="dxa"/>
          </w:tcPr>
          <w:p w14:paraId="538A5E46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>Obec :</w:t>
            </w:r>
          </w:p>
        </w:tc>
        <w:tc>
          <w:tcPr>
            <w:tcW w:w="4484" w:type="dxa"/>
          </w:tcPr>
          <w:p w14:paraId="7E4F873B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PSČ : </w:t>
            </w:r>
          </w:p>
        </w:tc>
      </w:tr>
      <w:tr w:rsidR="00AC7E28" w:rsidRPr="00AC7E28" w14:paraId="5D96A4FF" w14:textId="77777777" w:rsidTr="006F4C2F">
        <w:tc>
          <w:tcPr>
            <w:tcW w:w="4537" w:type="dxa"/>
          </w:tcPr>
          <w:p w14:paraId="4BC9DC95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 xml:space="preserve">Ulica : </w:t>
            </w:r>
          </w:p>
        </w:tc>
        <w:tc>
          <w:tcPr>
            <w:tcW w:w="4484" w:type="dxa"/>
          </w:tcPr>
          <w:p w14:paraId="1A2020CA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č. : </w:t>
            </w:r>
          </w:p>
        </w:tc>
      </w:tr>
      <w:tr w:rsidR="00AC7E28" w:rsidRPr="00AC7E28" w14:paraId="3528D8D2" w14:textId="77777777" w:rsidTr="006F4C2F">
        <w:tc>
          <w:tcPr>
            <w:tcW w:w="4537" w:type="dxa"/>
          </w:tcPr>
          <w:p w14:paraId="7744ACA4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 xml:space="preserve">E-mail : </w:t>
            </w:r>
          </w:p>
        </w:tc>
        <w:tc>
          <w:tcPr>
            <w:tcW w:w="4484" w:type="dxa"/>
          </w:tcPr>
          <w:p w14:paraId="209FFFE6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Telefón : </w:t>
            </w:r>
          </w:p>
        </w:tc>
      </w:tr>
    </w:tbl>
    <w:p w14:paraId="7B12C7F4" w14:textId="77777777" w:rsidR="00AC7E28" w:rsidRPr="00AC7E28" w:rsidRDefault="00AC7E28" w:rsidP="00AC7E28">
      <w:pPr>
        <w:pStyle w:val="Nzovtabuky0"/>
        <w:ind w:left="58"/>
        <w:rPr>
          <w:caps/>
          <w:color w:val="C00000"/>
        </w:rPr>
      </w:pPr>
    </w:p>
    <w:p w14:paraId="1A8DC96A" w14:textId="77777777" w:rsidR="00AC7E28" w:rsidRPr="00AC7E28" w:rsidRDefault="00AC7E28" w:rsidP="00AC7E28">
      <w:pPr>
        <w:pStyle w:val="Nzovtabuky0"/>
        <w:ind w:left="58"/>
        <w:rPr>
          <w:rFonts w:eastAsiaTheme="minorHAnsi"/>
          <w:b w:val="0"/>
          <w:bCs w:val="0"/>
          <w:color w:val="auto"/>
        </w:rPr>
      </w:pPr>
      <w:r w:rsidRPr="00AC7E28">
        <w:rPr>
          <w:rFonts w:eastAsiaTheme="minorHAnsi"/>
          <w:b w:val="0"/>
          <w:bCs w:val="0"/>
          <w:color w:val="auto"/>
        </w:rPr>
        <w:t>Žiada o zmenu distribučnej sadzby pre odberné miesto (ďalej len „</w:t>
      </w:r>
      <w:r w:rsidRPr="00AC7E28">
        <w:rPr>
          <w:rFonts w:eastAsiaTheme="minorHAnsi"/>
          <w:color w:val="auto"/>
        </w:rPr>
        <w:t>OM</w:t>
      </w:r>
      <w:r w:rsidRPr="00AC7E28">
        <w:rPr>
          <w:rFonts w:eastAsiaTheme="minorHAnsi"/>
          <w:b w:val="0"/>
          <w:bCs w:val="0"/>
          <w:color w:val="auto"/>
        </w:rPr>
        <w:t>“) :</w:t>
      </w:r>
    </w:p>
    <w:p w14:paraId="4C749F07" w14:textId="77777777" w:rsidR="00AC7E28" w:rsidRPr="00AC7E28" w:rsidRDefault="00AC7E28" w:rsidP="00AC7E28">
      <w:pPr>
        <w:pStyle w:val="Nzovtabuky0"/>
        <w:rPr>
          <w:rFonts w:eastAsiaTheme="minorHAnsi"/>
          <w:b w:val="0"/>
          <w:bCs w:val="0"/>
          <w:color w:val="01579B"/>
        </w:rPr>
      </w:pPr>
    </w:p>
    <w:p w14:paraId="3105C03D" w14:textId="77777777" w:rsidR="00AC7E28" w:rsidRPr="00AC7E28" w:rsidRDefault="00AC7E28" w:rsidP="00AC7E28">
      <w:pPr>
        <w:pStyle w:val="Nzovtabuky0"/>
        <w:ind w:left="58"/>
        <w:rPr>
          <w:caps/>
          <w:color w:val="01579B"/>
        </w:rPr>
      </w:pPr>
      <w:r w:rsidRPr="00AC7E28">
        <w:rPr>
          <w:caps/>
          <w:color w:val="01579B"/>
        </w:rPr>
        <w:t>Adresa bytového domu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7"/>
        <w:gridCol w:w="4484"/>
      </w:tblGrid>
      <w:tr w:rsidR="00AC7E28" w:rsidRPr="00AC7E28" w14:paraId="594FA85B" w14:textId="77777777" w:rsidTr="006F4C2F">
        <w:tc>
          <w:tcPr>
            <w:tcW w:w="4537" w:type="dxa"/>
          </w:tcPr>
          <w:p w14:paraId="44AC9ED4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>Obec :</w:t>
            </w:r>
          </w:p>
        </w:tc>
        <w:tc>
          <w:tcPr>
            <w:tcW w:w="4484" w:type="dxa"/>
          </w:tcPr>
          <w:p w14:paraId="2D560D79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PSČ : </w:t>
            </w:r>
          </w:p>
        </w:tc>
      </w:tr>
      <w:tr w:rsidR="00AC7E28" w:rsidRPr="00AC7E28" w14:paraId="4AA321ED" w14:textId="77777777" w:rsidTr="006F4C2F">
        <w:tc>
          <w:tcPr>
            <w:tcW w:w="4537" w:type="dxa"/>
          </w:tcPr>
          <w:p w14:paraId="5FFA9D3F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 xml:space="preserve">Ulica : </w:t>
            </w:r>
          </w:p>
        </w:tc>
        <w:tc>
          <w:tcPr>
            <w:tcW w:w="4484" w:type="dxa"/>
          </w:tcPr>
          <w:p w14:paraId="2C6F7332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č. : </w:t>
            </w:r>
          </w:p>
        </w:tc>
      </w:tr>
      <w:tr w:rsidR="00AC7E28" w:rsidRPr="00AC7E28" w14:paraId="5608D687" w14:textId="77777777" w:rsidTr="006F4C2F">
        <w:tc>
          <w:tcPr>
            <w:tcW w:w="4537" w:type="dxa"/>
          </w:tcPr>
          <w:p w14:paraId="6F5955FD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000000" w:themeColor="text1"/>
              </w:rPr>
              <w:t xml:space="preserve">Čísla vchodov pariace pod OM: </w:t>
            </w:r>
          </w:p>
        </w:tc>
        <w:tc>
          <w:tcPr>
            <w:tcW w:w="4484" w:type="dxa"/>
          </w:tcPr>
          <w:p w14:paraId="5144C365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Číslo listu vlastníctva : </w:t>
            </w:r>
          </w:p>
        </w:tc>
      </w:tr>
    </w:tbl>
    <w:p w14:paraId="2C1AD4E8" w14:textId="77777777" w:rsidR="00AC7E28" w:rsidRPr="00AC7E28" w:rsidRDefault="00AC7E28" w:rsidP="00AC7E28">
      <w:pPr>
        <w:pStyle w:val="Nzovtabuky0"/>
        <w:ind w:left="58"/>
        <w:rPr>
          <w:caps/>
          <w:color w:val="01579B"/>
        </w:rPr>
      </w:pPr>
    </w:p>
    <w:p w14:paraId="1C669649" w14:textId="77777777" w:rsidR="00AC7E28" w:rsidRPr="00AC7E28" w:rsidRDefault="00AC7E28" w:rsidP="00AC7E28">
      <w:pPr>
        <w:pStyle w:val="Nzovtabuky0"/>
        <w:ind w:left="58"/>
        <w:rPr>
          <w:caps/>
          <w:color w:val="01579B"/>
        </w:rPr>
      </w:pPr>
      <w:r w:rsidRPr="00AC7E28">
        <w:rPr>
          <w:caps/>
          <w:color w:val="01579B"/>
        </w:rPr>
        <w:t>Údaje o OM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10"/>
        <w:gridCol w:w="3383"/>
        <w:gridCol w:w="3168"/>
      </w:tblGrid>
      <w:tr w:rsidR="00AC7E28" w:rsidRPr="00AC7E28" w14:paraId="3F7436B5" w14:textId="77777777" w:rsidTr="003C6A6D">
        <w:tc>
          <w:tcPr>
            <w:tcW w:w="2510" w:type="dxa"/>
            <w:shd w:val="clear" w:color="auto" w:fill="EDEDED" w:themeFill="text2" w:themeFillTint="33"/>
          </w:tcPr>
          <w:p w14:paraId="26A0255E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3383" w:type="dxa"/>
            <w:shd w:val="clear" w:color="auto" w:fill="EDEDED" w:themeFill="text2" w:themeFillTint="33"/>
          </w:tcPr>
          <w:p w14:paraId="68C65F7D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>EIC kód OM</w:t>
            </w:r>
          </w:p>
        </w:tc>
        <w:tc>
          <w:tcPr>
            <w:tcW w:w="3168" w:type="dxa"/>
            <w:shd w:val="clear" w:color="auto" w:fill="EDEDED" w:themeFill="text2" w:themeFillTint="33"/>
          </w:tcPr>
          <w:p w14:paraId="1D4A1E2C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Číslo elektromera OM</w:t>
            </w:r>
          </w:p>
        </w:tc>
      </w:tr>
      <w:tr w:rsidR="00AC7E28" w:rsidRPr="00AC7E28" w14:paraId="77D20DDC" w14:textId="77777777" w:rsidTr="006F4C2F">
        <w:tc>
          <w:tcPr>
            <w:tcW w:w="2510" w:type="dxa"/>
            <w:vMerge w:val="restart"/>
          </w:tcPr>
          <w:p w14:paraId="6863847C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Spoločné častí bytového domu</w:t>
            </w:r>
          </w:p>
        </w:tc>
        <w:tc>
          <w:tcPr>
            <w:tcW w:w="3383" w:type="dxa"/>
          </w:tcPr>
          <w:p w14:paraId="4CDE74DE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0D36511A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0546457D" w14:textId="77777777" w:rsidTr="006F4C2F">
        <w:tc>
          <w:tcPr>
            <w:tcW w:w="2510" w:type="dxa"/>
            <w:vMerge/>
          </w:tcPr>
          <w:p w14:paraId="506AB2B2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28564795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1104EEB5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37A5A44A" w14:textId="77777777" w:rsidTr="006F4C2F">
        <w:tc>
          <w:tcPr>
            <w:tcW w:w="2510" w:type="dxa"/>
            <w:vMerge/>
          </w:tcPr>
          <w:p w14:paraId="73E47492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1E58ECAB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547C17B0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2DCCFB8C" w14:textId="77777777" w:rsidTr="006F4C2F">
        <w:tc>
          <w:tcPr>
            <w:tcW w:w="2510" w:type="dxa"/>
            <w:vMerge w:val="restart"/>
          </w:tcPr>
          <w:p w14:paraId="689C6D31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Spoločné zariadenia bytového domu</w:t>
            </w:r>
          </w:p>
        </w:tc>
        <w:tc>
          <w:tcPr>
            <w:tcW w:w="3383" w:type="dxa"/>
          </w:tcPr>
          <w:p w14:paraId="5415E77C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675E7575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28020DBB" w14:textId="77777777" w:rsidTr="006F4C2F">
        <w:tc>
          <w:tcPr>
            <w:tcW w:w="2510" w:type="dxa"/>
            <w:vMerge/>
          </w:tcPr>
          <w:p w14:paraId="2BDAEEDF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090A9FA8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779B9DCF" w14:textId="77777777" w:rsidR="00AC7E28" w:rsidRPr="00AC7E28" w:rsidRDefault="00AC7E28" w:rsidP="006F4C2F">
            <w:pPr>
              <w:pStyle w:val="Nzovtabuky0"/>
              <w:jc w:val="center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11244F9E" w14:textId="77777777" w:rsidTr="006F4C2F">
        <w:tc>
          <w:tcPr>
            <w:tcW w:w="2510" w:type="dxa"/>
            <w:vMerge/>
          </w:tcPr>
          <w:p w14:paraId="71D57867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2578ED79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2B3AFDB8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19F386AF" w14:textId="77777777" w:rsidTr="006F4C2F">
        <w:tc>
          <w:tcPr>
            <w:tcW w:w="2510" w:type="dxa"/>
            <w:vMerge w:val="restart"/>
          </w:tcPr>
          <w:p w14:paraId="390F16B9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Nebytové priestory bytového domu </w:t>
            </w:r>
          </w:p>
        </w:tc>
        <w:tc>
          <w:tcPr>
            <w:tcW w:w="3383" w:type="dxa"/>
          </w:tcPr>
          <w:p w14:paraId="12E78523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56EB3F98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23A299DC" w14:textId="77777777" w:rsidTr="006F4C2F">
        <w:tc>
          <w:tcPr>
            <w:tcW w:w="2510" w:type="dxa"/>
            <w:vMerge/>
          </w:tcPr>
          <w:p w14:paraId="2E82A099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6457C9D3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16E67EFE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  <w:tr w:rsidR="00AC7E28" w:rsidRPr="00AC7E28" w14:paraId="4687E4DB" w14:textId="77777777" w:rsidTr="006F4C2F">
        <w:tc>
          <w:tcPr>
            <w:tcW w:w="2510" w:type="dxa"/>
            <w:vMerge/>
          </w:tcPr>
          <w:p w14:paraId="2FF5609E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383" w:type="dxa"/>
          </w:tcPr>
          <w:p w14:paraId="7388631D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  <w:tc>
          <w:tcPr>
            <w:tcW w:w="3168" w:type="dxa"/>
          </w:tcPr>
          <w:p w14:paraId="524F47F2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</w:tbl>
    <w:p w14:paraId="66638C82" w14:textId="77777777" w:rsidR="00AC7E28" w:rsidRDefault="00AC7E28" w:rsidP="00AC7E28">
      <w:pPr>
        <w:pStyle w:val="Nzovtabuky0"/>
        <w:rPr>
          <w:caps/>
          <w:color w:val="01579B"/>
          <w:sz w:val="16"/>
          <w:szCs w:val="16"/>
        </w:rPr>
      </w:pPr>
    </w:p>
    <w:p w14:paraId="6E8DDE60" w14:textId="77777777" w:rsidR="00AC7E28" w:rsidRPr="00AC7E28" w:rsidRDefault="00AC7E28" w:rsidP="00AC7E28">
      <w:pPr>
        <w:pStyle w:val="Nzovtabuky0"/>
        <w:rPr>
          <w:caps/>
          <w:color w:val="01579B"/>
          <w:sz w:val="16"/>
          <w:szCs w:val="16"/>
        </w:rPr>
      </w:pPr>
    </w:p>
    <w:p w14:paraId="14124719" w14:textId="77777777" w:rsidR="00AC7E28" w:rsidRPr="00AC7E28" w:rsidRDefault="00AC7E28" w:rsidP="00AC7E28">
      <w:pPr>
        <w:pStyle w:val="Nzovtabuky0"/>
        <w:rPr>
          <w:caps/>
          <w:color w:val="01579B"/>
        </w:rPr>
      </w:pPr>
      <w:r w:rsidRPr="00AC7E28">
        <w:rPr>
          <w:caps/>
          <w:color w:val="01579B"/>
        </w:rPr>
        <w:lastRenderedPageBreak/>
        <w:t>Zoznam príloh predkladaných žiadateľom k tejto žiadosti</w:t>
      </w:r>
    </w:p>
    <w:p w14:paraId="1C3E44D4" w14:textId="77777777" w:rsidR="00AC7E28" w:rsidRPr="00AC7E28" w:rsidRDefault="003C6A6D" w:rsidP="00AC7E28">
      <w:pPr>
        <w:pStyle w:val="Nzovtabuky0"/>
        <w:rPr>
          <w:rFonts w:eastAsiaTheme="minorHAnsi"/>
          <w:b w:val="0"/>
          <w:bCs w:val="0"/>
          <w:color w:val="auto"/>
        </w:rPr>
      </w:pPr>
      <w:sdt>
        <w:sdtPr>
          <w:rPr>
            <w:caps/>
            <w:color w:val="000000" w:themeColor="text1"/>
          </w:rPr>
          <w:id w:val="4357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E28" w:rsidRPr="00AC7E28">
            <w:rPr>
              <w:rFonts w:ascii="Segoe UI Symbol" w:eastAsia="MS Gothic" w:hAnsi="Segoe UI Symbol" w:cs="Segoe UI Symbol"/>
              <w:caps/>
              <w:color w:val="000000" w:themeColor="text1"/>
            </w:rPr>
            <w:t>☐</w:t>
          </w:r>
        </w:sdtContent>
      </w:sdt>
      <w:r w:rsidR="00AC7E28" w:rsidRPr="00AC7E28">
        <w:rPr>
          <w:caps/>
          <w:color w:val="000000" w:themeColor="text1"/>
        </w:rPr>
        <w:t xml:space="preserve"> </w:t>
      </w:r>
      <w:r w:rsidR="00AC7E28" w:rsidRPr="00AC7E28">
        <w:rPr>
          <w:caps/>
          <w:color w:val="000000" w:themeColor="text1"/>
        </w:rPr>
        <w:tab/>
      </w:r>
      <w:r w:rsidR="00AC7E28" w:rsidRPr="00AC7E28">
        <w:rPr>
          <w:rFonts w:eastAsiaTheme="minorHAnsi"/>
          <w:b w:val="0"/>
          <w:bCs w:val="0"/>
          <w:color w:val="auto"/>
        </w:rPr>
        <w:t>Čestné vyhlásenie žiadateľa</w:t>
      </w:r>
    </w:p>
    <w:p w14:paraId="1BE33C14" w14:textId="77777777" w:rsidR="00AC7E28" w:rsidRPr="00AC7E28" w:rsidRDefault="00AC7E28" w:rsidP="00AC7E28">
      <w:pPr>
        <w:pStyle w:val="Nzovtabuky0"/>
        <w:rPr>
          <w:b w:val="0"/>
          <w:bCs w:val="0"/>
          <w:color w:val="01579B"/>
          <w:sz w:val="16"/>
          <w:szCs w:val="16"/>
        </w:rPr>
      </w:pPr>
    </w:p>
    <w:p w14:paraId="7784948B" w14:textId="77777777" w:rsidR="00AC7E28" w:rsidRPr="00AC7E28" w:rsidRDefault="00AC7E28" w:rsidP="00AC7E28">
      <w:pPr>
        <w:pStyle w:val="Nzovtabuky0"/>
        <w:rPr>
          <w:caps/>
          <w:color w:val="01579B"/>
        </w:rPr>
      </w:pPr>
      <w:r w:rsidRPr="00AC7E28">
        <w:rPr>
          <w:caps/>
          <w:color w:val="01579B"/>
        </w:rPr>
        <w:t>Poučenia</w:t>
      </w:r>
    </w:p>
    <w:p w14:paraId="34438B10" w14:textId="3431988F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Ak má žiadateľ so spoločnosťou </w:t>
      </w:r>
      <w:r>
        <w:rPr>
          <w:rFonts w:eastAsiaTheme="minorHAnsi"/>
          <w:b w:val="0"/>
          <w:bCs w:val="0"/>
          <w:color w:val="auto"/>
          <w:sz w:val="19"/>
          <w:szCs w:val="19"/>
        </w:rPr>
        <w:t xml:space="preserve">UCED </w:t>
      </w: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>Snina</w:t>
      </w:r>
      <w:r>
        <w:rPr>
          <w:rFonts w:eastAsiaTheme="minorHAnsi"/>
          <w:b w:val="0"/>
          <w:bCs w:val="0"/>
          <w:color w:val="auto"/>
          <w:sz w:val="19"/>
          <w:szCs w:val="19"/>
        </w:rPr>
        <w:t xml:space="preserve"> </w:t>
      </w: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>s.</w:t>
      </w:r>
      <w:r w:rsidR="003C6A6D">
        <w:rPr>
          <w:rFonts w:eastAsiaTheme="minorHAnsi"/>
          <w:b w:val="0"/>
          <w:bCs w:val="0"/>
          <w:color w:val="auto"/>
          <w:sz w:val="19"/>
          <w:szCs w:val="19"/>
        </w:rPr>
        <w:t xml:space="preserve"> </w:t>
      </w: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>r.</w:t>
      </w:r>
      <w:r w:rsidR="003C6A6D">
        <w:rPr>
          <w:rFonts w:eastAsiaTheme="minorHAnsi"/>
          <w:b w:val="0"/>
          <w:bCs w:val="0"/>
          <w:color w:val="auto"/>
          <w:sz w:val="19"/>
          <w:szCs w:val="19"/>
        </w:rPr>
        <w:t xml:space="preserve"> </w:t>
      </w: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>o.</w:t>
      </w:r>
      <w:r w:rsidRPr="00AC7E28">
        <w:rPr>
          <w:b w:val="0"/>
          <w:bCs w:val="0"/>
          <w:color w:val="000000" w:themeColor="text1"/>
          <w:sz w:val="19"/>
          <w:szCs w:val="19"/>
        </w:rPr>
        <w:t xml:space="preserve"> ako prevádzkovateľom miestnej distribučnej sústavy (ďalej len</w:t>
      </w:r>
      <w:r w:rsidRPr="00AC7E28">
        <w:rPr>
          <w:color w:val="000000" w:themeColor="text1"/>
          <w:sz w:val="19"/>
          <w:szCs w:val="19"/>
        </w:rPr>
        <w:t xml:space="preserve"> „MDS“</w:t>
      </w:r>
      <w:r w:rsidRPr="00AC7E28">
        <w:rPr>
          <w:b w:val="0"/>
          <w:bCs w:val="0"/>
          <w:color w:val="000000" w:themeColor="text1"/>
          <w:sz w:val="19"/>
          <w:szCs w:val="19"/>
        </w:rPr>
        <w:t xml:space="preserve">) </w:t>
      </w: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uzatvorenú individuálnu zmluvu o prístupe do distribučnej sústavy a distribúcií elektriny pre OM spoločných častí a spoločných zariadení bytového domu, žiadateľ písomne požiada MDS o zmenu pridelenia distribučnej sadzby a k žiadosti predloží čestné vyhlásenie žiadateľa. </w:t>
      </w:r>
    </w:p>
    <w:p w14:paraId="1E3AB450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</w:p>
    <w:p w14:paraId="4D243030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Ak má žiadateľ uzatvorenú s dodávateľom elektriny zmluvu o združenej dodávke elektriny do odberných miest spoločných častí a spoločných zariadení bytového domu, žiadateľ písomne požiada o zmenu pridelenia distribučnej sadzby MDS prostredníctvom svojho dodávateľa elektriny a k žiadosti priloží čestné vyhlásenie žiadateľa. Dodávateľ elektriny následne predloží žiadosť žiadateľa spolu s čestným vyhlásením žiadateľa MDS. Priradenie sadzby odberateľa elektriny v domácnosti pre OM bytového domu je účinné od 1. (prvého) dňa kalendárneho mesiaca nasledujúceho po mesiaci, v ktorom MDS pridelil žiadateľovi distribučnú sadzbu pre domácnosť. </w:t>
      </w:r>
    </w:p>
    <w:p w14:paraId="00597416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</w:p>
    <w:p w14:paraId="02C730E2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>MDS má právo overiť pravdivosť a úplnosť údajov uvedených v žiadosti a v prípade zistených rozdielov v skutkovom stave a údajov uvedených v žiadosti žiadosť zamietne, o čom bezodkladne informuje predkladateľa žiadosti. Distribučnú sadzbu odberateľa elektriny v domácnosti pre OM bytového domu nie je možné priznať spätne.</w:t>
      </w:r>
    </w:p>
    <w:p w14:paraId="2EAB0D1E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</w:p>
    <w:p w14:paraId="732316E5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Po priradení distribučnej sadzby odberateľa elektriny v domácnosti pre OM bytového domu sa bezodkladne uzatvára nová zmluva o združenej dodávke elektriny, prípadne individuálna zmluva o distribúcii elektriny a prístupe do distribučnej sústavy do príslušného odberného miesta spoločných častí a spoločných zariadení bytového domu alebo sa uzatvorí dodatok k existujúcej zmluve. </w:t>
      </w:r>
    </w:p>
    <w:p w14:paraId="2432356F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</w:p>
    <w:p w14:paraId="3538A44A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Akúkoľvek zmenu údajov uvedených v žiadosti a v jej prílohách žiadateľ bezodkladne oznámi MDS alebo svojmu dodávateľovi elektriny, ktorý následne bezodkladne informuje o tejto skutočnosti MDS. Ak táto zmena znamená, že spoločné časti a spoločné zariadenia bytového domu nie sú spojené výlučne s užívaním bytov, nebytových priestorov alebo spoločných častí a spoločných zariadení bytového domu iba domácnosťami, MDS určí spotrebu elektriny v príslušných odberných miestach spoločných častí a spoločných zariadení bytového domu po doručení oznámenia od žiadateľa a od 1. (prvého) dňa kalendárneho mesiaca nasledujúceho po mesiaci, v ktorom prestal žiadateľ uvedené podmienky spĺňať, začne MDS fakturovať v príslušných odberných miestach sadzbu pre užívateľov distribučnej sústavy mimo domácností. </w:t>
      </w:r>
    </w:p>
    <w:p w14:paraId="590370DD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</w:p>
    <w:p w14:paraId="740DC126" w14:textId="77777777" w:rsidR="00AC7E28" w:rsidRPr="00AC7E28" w:rsidRDefault="00AC7E28" w:rsidP="00AC7E28">
      <w:pPr>
        <w:pStyle w:val="Nzovtabuky0"/>
        <w:spacing w:after="0"/>
        <w:jc w:val="both"/>
        <w:rPr>
          <w:rFonts w:eastAsiaTheme="minorHAnsi"/>
          <w:b w:val="0"/>
          <w:bCs w:val="0"/>
          <w:color w:val="auto"/>
          <w:sz w:val="19"/>
          <w:szCs w:val="19"/>
        </w:rPr>
      </w:pPr>
      <w:r w:rsidRPr="00AC7E28">
        <w:rPr>
          <w:rFonts w:eastAsiaTheme="minorHAnsi"/>
          <w:b w:val="0"/>
          <w:bCs w:val="0"/>
          <w:color w:val="auto"/>
          <w:sz w:val="19"/>
          <w:szCs w:val="19"/>
        </w:rPr>
        <w:t xml:space="preserve">MDS má právo kedykoľvek, aj po priradení distribučnej sadzby pre domácnosť, vykonať kontrolu odberných miest a odberných zariadení spoločných častí a spoločných zariadení bytového domu za účelom preukázania skutočností uvedených žiadateľom v žiadosti a jej prílohe, ktoré predložil MDS. Ak MDS pri kontrole zistí, že užívanie spoločných častí a spoločných zariadení bytového domu nie je spojené výlučne s užívaním bytov, nebytových priestorov alebo spoločných častí a spoločných zariadení bytového domu iba domácnosťami, po odpočte spotreby elektriny v príslušných odberných miestach spoločných častí a spoločných zariadení bytového domu, vykonaného v rámci kontrolného zisťovania, MDS bezodkladne priradí žiadateľovi pôvodnú sadzbu pre užívateľov DS mimo domácností a začne fakturovať žiadateľovi v príslušných odberných miestach sadzbu pre užívateľov DS mimo domácnosti. Ak MDS zistí, že podmienky pre pridelenie sadzby odberateľa elektriny v domácnosti pre OM bytového domu pre domácnosť neboli splnené už v čase priradenia takejto sadzby, priradí príslušnému odbernému miestu pôvodnú sadzbu a žiadateľ je povinný uhradiť vzniknutý rozdiel v platbách za distribúciu elektriny. </w:t>
      </w:r>
    </w:p>
    <w:p w14:paraId="4EB7BA1A" w14:textId="77777777" w:rsidR="00AC7E28" w:rsidRDefault="00AC7E28" w:rsidP="00AC7E28">
      <w:pPr>
        <w:pStyle w:val="Nzovtabuky0"/>
        <w:jc w:val="both"/>
        <w:rPr>
          <w:rFonts w:eastAsiaTheme="minorHAnsi"/>
          <w:b w:val="0"/>
          <w:bCs w:val="0"/>
          <w:color w:val="auto"/>
          <w:sz w:val="16"/>
          <w:szCs w:val="16"/>
        </w:rPr>
      </w:pPr>
    </w:p>
    <w:p w14:paraId="30FB3638" w14:textId="77777777" w:rsidR="00AC7E28" w:rsidRDefault="00AC7E28" w:rsidP="00AC7E28">
      <w:pPr>
        <w:pStyle w:val="Nzovtabuky0"/>
        <w:jc w:val="both"/>
        <w:rPr>
          <w:rFonts w:eastAsiaTheme="minorHAnsi"/>
          <w:b w:val="0"/>
          <w:bCs w:val="0"/>
          <w:color w:val="auto"/>
          <w:sz w:val="16"/>
          <w:szCs w:val="16"/>
        </w:rPr>
      </w:pPr>
    </w:p>
    <w:p w14:paraId="4BFE8C92" w14:textId="77777777" w:rsidR="00AC7E28" w:rsidRPr="00AC7E28" w:rsidRDefault="00AC7E28" w:rsidP="00AC7E28">
      <w:pPr>
        <w:pStyle w:val="Nzovtabuky0"/>
        <w:jc w:val="both"/>
        <w:rPr>
          <w:rFonts w:eastAsiaTheme="minorHAnsi"/>
          <w:b w:val="0"/>
          <w:bCs w:val="0"/>
          <w:color w:val="auto"/>
          <w:sz w:val="16"/>
          <w:szCs w:val="16"/>
        </w:rPr>
      </w:pPr>
    </w:p>
    <w:p w14:paraId="796B557A" w14:textId="77777777" w:rsidR="00AC7E28" w:rsidRPr="00AC7E28" w:rsidRDefault="00AC7E28" w:rsidP="00AC7E28">
      <w:pPr>
        <w:pStyle w:val="Nzovtabuky0"/>
        <w:rPr>
          <w:caps/>
          <w:color w:val="01579B"/>
        </w:rPr>
      </w:pPr>
      <w:r w:rsidRPr="00AC7E28">
        <w:rPr>
          <w:caps/>
          <w:color w:val="01579B"/>
        </w:rPr>
        <w:lastRenderedPageBreak/>
        <w:t>Spracúvanie osobných údajov</w:t>
      </w:r>
    </w:p>
    <w:p w14:paraId="25BB27F3" w14:textId="77018FFC" w:rsidR="00AC7E28" w:rsidRPr="003C6A6D" w:rsidRDefault="00AC7E28" w:rsidP="00AC7E28">
      <w:pPr>
        <w:jc w:val="both"/>
        <w:rPr>
          <w:rFonts w:ascii="Arial" w:hAnsi="Arial" w:cs="Arial"/>
          <w:sz w:val="19"/>
          <w:szCs w:val="19"/>
          <w:shd w:val="clear" w:color="auto" w:fill="FFFFFF"/>
          <w:lang w:val="sk-SK"/>
        </w:rPr>
      </w:pPr>
      <w:r w:rsidRPr="003C6A6D">
        <w:rPr>
          <w:rFonts w:ascii="Arial" w:hAnsi="Arial" w:cs="Arial"/>
          <w:color w:val="000000" w:themeColor="text1"/>
          <w:sz w:val="19"/>
          <w:szCs w:val="19"/>
          <w:lang w:val="sk-SK"/>
        </w:rPr>
        <w:t>MDS spracúva osobné údaje obsiahnuté v tejto žiadosti na účel posúdenie žiadosti žiadateľa a vydania stanoviska v rámci predzmluvných vzťahov v súlade n</w:t>
      </w:r>
      <w:r w:rsidRPr="003C6A6D">
        <w:rPr>
          <w:rFonts w:ascii="Arial" w:eastAsia="Times New Roman" w:hAnsi="Arial" w:cs="Arial"/>
          <w:sz w:val="19"/>
          <w:szCs w:val="19"/>
          <w:lang w:val="sk-SK"/>
        </w:rPr>
        <w:t>ariadením Európskeho parlamentu a Rady (EÚ) 2016/679 z 27.04.2016 o ochrane fyzických osôb pri spracúvaní osobných údajov a o voľnom pohybe takýchto údajov, ktorým sa zrušuje smernica 95/46/ES (ďalej len „</w:t>
      </w:r>
      <w:r w:rsidRPr="003C6A6D">
        <w:rPr>
          <w:rFonts w:ascii="Arial" w:eastAsia="Times New Roman" w:hAnsi="Arial" w:cs="Arial"/>
          <w:b/>
          <w:sz w:val="19"/>
          <w:szCs w:val="19"/>
          <w:lang w:val="sk-SK"/>
        </w:rPr>
        <w:t>GDPR</w:t>
      </w:r>
      <w:r w:rsidRPr="003C6A6D">
        <w:rPr>
          <w:rFonts w:ascii="Arial" w:eastAsia="Times New Roman" w:hAnsi="Arial" w:cs="Arial"/>
          <w:sz w:val="19"/>
          <w:szCs w:val="19"/>
          <w:lang w:val="sk-SK"/>
        </w:rPr>
        <w:t>“) na právnom základe podľa čl. 6 ods. 1 písm. b) GDPR – zmluvné a predzmluvné vzťahy po dobu potrebnú pre spracovanie a vyhodnotenie žiadosti žiadateľa, ktoré je potrebné pre následné uzatvorenie zmluvy o pripojení a ďalších s tým súvisiacich právnych úkonov. V nadväznosti na plnenie svojich povinností MDS spracúva osobné údaje obsiahnuté v tejto žiadosti i na účel plnenia zákonných povinností vyplývajúcich pre MDS zo Zákona o energetike a Zo zákona o podpore na právnom základe podľa čl. 6 ods. 1 písm. c) GDPR – plnenie zákonných povinností po dobu nevyhnutnú na plnenie zákonných povinností MDS. Táto žiadosť a údaje v nej obsiahnuté sú spracúvané i na účel archivácie dokumentov v súlade s Registratúrnym plánom na právnom základe podľa čl. 6 ods. 1 písm. c) GDPR – plnenie zákonných povinností po dobu 10 rokov nasledujúcich po vydaní stanoviska MDS. Dotknutá osoba</w:t>
      </w:r>
      <w:r w:rsidRPr="003C6A6D">
        <w:rPr>
          <w:rFonts w:ascii="Arial" w:hAnsi="Arial" w:cs="Arial"/>
          <w:sz w:val="19"/>
          <w:szCs w:val="19"/>
          <w:shd w:val="clear" w:color="auto" w:fill="FFFFFF"/>
          <w:lang w:val="sk-SK"/>
        </w:rPr>
        <w:t xml:space="preserve"> má právo na prístup k osobným údajom, právo na opravu, zmenu, výmaz, a prenosnosť osobných údajov v prípade automatizovane spracúvaných osobných údajov, právo na obmedzenie spracúvania osobných údajov a právo obrátiť sa so sťažnosťou na Úrad na ochranu osobných údajov Slovenskej republiky. Kontakt na zodpovednú osobu</w:t>
      </w:r>
      <w:r w:rsidRPr="003C6A6D">
        <w:rPr>
          <w:rFonts w:ascii="Arial" w:hAnsi="Arial" w:cs="Arial"/>
          <w:b/>
          <w:bCs/>
          <w:sz w:val="19"/>
          <w:szCs w:val="19"/>
          <w:shd w:val="clear" w:color="auto" w:fill="FFFFFF"/>
          <w:lang w:val="sk-SK"/>
        </w:rPr>
        <w:t xml:space="preserve"> </w:t>
      </w:r>
      <w:r w:rsidRPr="003C6A6D">
        <w:rPr>
          <w:rFonts w:ascii="Arial" w:hAnsi="Arial" w:cs="Arial"/>
          <w:sz w:val="19"/>
          <w:szCs w:val="19"/>
          <w:shd w:val="clear" w:color="auto" w:fill="FFFFFF"/>
          <w:lang w:val="sk-SK"/>
        </w:rPr>
        <w:t>je </w:t>
      </w:r>
      <w:hyperlink r:id="rId6" w:history="1">
        <w:r w:rsidRPr="003C6A6D">
          <w:rPr>
            <w:rStyle w:val="Hypertextovprepojenie"/>
            <w:rFonts w:ascii="Arial" w:hAnsi="Arial" w:cs="Arial"/>
            <w:sz w:val="19"/>
            <w:szCs w:val="19"/>
            <w:lang w:val="sk-SK"/>
          </w:rPr>
          <w:t>gdpr@uced.sk</w:t>
        </w:r>
      </w:hyperlink>
      <w:r w:rsidRPr="003C6A6D">
        <w:rPr>
          <w:rFonts w:ascii="Arial" w:hAnsi="Arial" w:cs="Arial"/>
          <w:sz w:val="19"/>
          <w:szCs w:val="19"/>
          <w:lang w:val="sk-SK"/>
        </w:rPr>
        <w:t xml:space="preserve">. </w:t>
      </w:r>
      <w:r w:rsidRPr="003C6A6D">
        <w:rPr>
          <w:rFonts w:ascii="Arial" w:hAnsi="Arial" w:cs="Arial"/>
          <w:sz w:val="19"/>
          <w:szCs w:val="19"/>
          <w:shd w:val="clear" w:color="auto" w:fill="FFFFFF"/>
          <w:lang w:val="sk-SK"/>
        </w:rPr>
        <w:t xml:space="preserve">Viac informácii o spracúvaní osobných údajov na </w:t>
      </w:r>
      <w:hyperlink r:id="rId7" w:history="1">
        <w:r w:rsidRPr="003C6A6D">
          <w:rPr>
            <w:rStyle w:val="Hypertextovprepojenie"/>
            <w:rFonts w:ascii="Arial" w:hAnsi="Arial" w:cs="Arial"/>
            <w:sz w:val="19"/>
            <w:szCs w:val="19"/>
            <w:shd w:val="clear" w:color="auto" w:fill="FFFFFF"/>
            <w:lang w:val="sk-SK"/>
          </w:rPr>
          <w:t>www.sninaenergy.sk</w:t>
        </w:r>
      </w:hyperlink>
      <w:r w:rsidRPr="003C6A6D">
        <w:rPr>
          <w:rFonts w:ascii="Arial" w:hAnsi="Arial" w:cs="Arial"/>
          <w:sz w:val="19"/>
          <w:szCs w:val="19"/>
          <w:shd w:val="clear" w:color="auto" w:fill="FFFFFF"/>
          <w:lang w:val="sk-SK"/>
        </w:rPr>
        <w:t xml:space="preserve">. </w:t>
      </w:r>
    </w:p>
    <w:p w14:paraId="17F86E38" w14:textId="77777777" w:rsidR="00AC7E28" w:rsidRPr="00AC7E28" w:rsidRDefault="00AC7E28" w:rsidP="00AC7E28">
      <w:pPr>
        <w:pStyle w:val="Nzovtabuky0"/>
        <w:ind w:left="58"/>
        <w:rPr>
          <w:caps/>
          <w:color w:val="C00000"/>
          <w:sz w:val="16"/>
          <w:szCs w:val="16"/>
        </w:rPr>
      </w:pPr>
    </w:p>
    <w:p w14:paraId="30A92520" w14:textId="77777777" w:rsidR="00AC7E28" w:rsidRPr="00AC7E28" w:rsidRDefault="00AC7E28" w:rsidP="00AC7E28">
      <w:pPr>
        <w:pStyle w:val="Nzovtabuky0"/>
        <w:ind w:left="58"/>
        <w:rPr>
          <w:caps/>
          <w:color w:val="01579B"/>
        </w:rPr>
      </w:pPr>
      <w:r w:rsidRPr="00AC7E28">
        <w:rPr>
          <w:caps/>
          <w:color w:val="01579B"/>
        </w:rPr>
        <w:t>Vyhlásenia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627"/>
      </w:tblGrid>
      <w:tr w:rsidR="00AC7E28" w:rsidRPr="003C6A6D" w14:paraId="3AFD14C1" w14:textId="77777777" w:rsidTr="006F4C2F">
        <w:tc>
          <w:tcPr>
            <w:tcW w:w="10199" w:type="dxa"/>
          </w:tcPr>
          <w:p w14:paraId="6401FABD" w14:textId="77777777" w:rsidR="00AC7E28" w:rsidRPr="00AC7E28" w:rsidRDefault="00AC7E28" w:rsidP="006F4C2F">
            <w:pPr>
              <w:pStyle w:val="Zkladntext1"/>
              <w:spacing w:line="252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C7E28">
              <w:rPr>
                <w:rFonts w:ascii="Arial" w:hAnsi="Arial" w:cs="Arial"/>
                <w:b/>
                <w:bCs/>
                <w:color w:val="000000" w:themeColor="text1"/>
              </w:rPr>
              <w:t xml:space="preserve">Žiadateľ svojím podpisom </w:t>
            </w:r>
            <w:r w:rsidRPr="00AC7E28">
              <w:rPr>
                <w:rFonts w:ascii="Arial" w:eastAsiaTheme="minorHAnsi" w:hAnsi="Arial" w:cs="Arial"/>
                <w:b/>
                <w:bCs/>
                <w:color w:val="auto"/>
              </w:rPr>
              <w:t>berie na vedomie a súhlasí s informáciami uvedenými v tejto žiadosti a súčasne potvrdzuje pravdivosť a správnosť údajov uvedených v čestnom vyhlásení</w:t>
            </w:r>
            <w:r w:rsidRPr="00AC7E28">
              <w:rPr>
                <w:rFonts w:ascii="Arial" w:hAnsi="Arial" w:cs="Arial"/>
                <w:b/>
                <w:bCs/>
                <w:color w:val="auto"/>
              </w:rPr>
              <w:t>.</w:t>
            </w:r>
          </w:p>
        </w:tc>
      </w:tr>
    </w:tbl>
    <w:p w14:paraId="1A11FFC4" w14:textId="77777777" w:rsidR="00AC7E28" w:rsidRPr="00AC7E28" w:rsidRDefault="00AC7E28" w:rsidP="00AC7E28">
      <w:pPr>
        <w:pStyle w:val="Nzovtabuky0"/>
        <w:rPr>
          <w:caps/>
          <w:color w:val="C0000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873"/>
        <w:gridCol w:w="4754"/>
      </w:tblGrid>
      <w:tr w:rsidR="00AC7E28" w:rsidRPr="00AC7E28" w14:paraId="53DF71CA" w14:textId="77777777" w:rsidTr="006F4C2F">
        <w:tc>
          <w:tcPr>
            <w:tcW w:w="5131" w:type="dxa"/>
          </w:tcPr>
          <w:p w14:paraId="3F8DB8E7" w14:textId="77777777" w:rsidR="00AC7E28" w:rsidRPr="00AC7E28" w:rsidRDefault="00AC7E28" w:rsidP="006F4C2F">
            <w:pPr>
              <w:pStyle w:val="Nzovtabuky0"/>
              <w:rPr>
                <w:color w:val="000000" w:themeColor="text1"/>
              </w:rPr>
            </w:pPr>
            <w:r w:rsidRPr="00AC7E28">
              <w:rPr>
                <w:b w:val="0"/>
                <w:bCs w:val="0"/>
                <w:color w:val="auto"/>
              </w:rPr>
              <w:t xml:space="preserve">Dátum a miesto podpisu </w:t>
            </w:r>
          </w:p>
        </w:tc>
        <w:tc>
          <w:tcPr>
            <w:tcW w:w="5068" w:type="dxa"/>
          </w:tcPr>
          <w:p w14:paraId="3AFB4053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000000" w:themeColor="text1"/>
              </w:rPr>
            </w:pPr>
            <w:r w:rsidRPr="00AC7E28">
              <w:rPr>
                <w:rFonts w:eastAsia="Calibri"/>
                <w:b w:val="0"/>
                <w:bCs w:val="0"/>
                <w:noProof/>
                <w:color w:val="auto"/>
                <w:sz w:val="22"/>
                <w:szCs w:val="22"/>
                <w:highlight w:val="yellow"/>
              </w:rPr>
              <w:t>[*]</w:t>
            </w:r>
          </w:p>
        </w:tc>
      </w:tr>
      <w:tr w:rsidR="00AC7E28" w:rsidRPr="00AC7E28" w14:paraId="186A2C12" w14:textId="77777777" w:rsidTr="006F4C2F">
        <w:tc>
          <w:tcPr>
            <w:tcW w:w="5131" w:type="dxa"/>
          </w:tcPr>
          <w:p w14:paraId="3E1D30B8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Obchodné meno / Meno a priezvisko žiadateľa</w:t>
            </w:r>
          </w:p>
        </w:tc>
        <w:tc>
          <w:tcPr>
            <w:tcW w:w="5068" w:type="dxa"/>
          </w:tcPr>
          <w:p w14:paraId="00E2D0A0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rFonts w:eastAsia="Calibri"/>
                <w:b w:val="0"/>
                <w:bCs w:val="0"/>
                <w:noProof/>
                <w:color w:val="auto"/>
                <w:sz w:val="22"/>
                <w:szCs w:val="22"/>
                <w:highlight w:val="yellow"/>
              </w:rPr>
              <w:t>[*]</w:t>
            </w:r>
          </w:p>
        </w:tc>
      </w:tr>
      <w:tr w:rsidR="00AC7E28" w:rsidRPr="00AC7E28" w14:paraId="4C46AC59" w14:textId="77777777" w:rsidTr="006F4C2F">
        <w:tc>
          <w:tcPr>
            <w:tcW w:w="5131" w:type="dxa"/>
          </w:tcPr>
          <w:p w14:paraId="3C296CE2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Meno, priezvisko a funkcia podpisujúcej osoby</w:t>
            </w:r>
          </w:p>
        </w:tc>
        <w:tc>
          <w:tcPr>
            <w:tcW w:w="5068" w:type="dxa"/>
          </w:tcPr>
          <w:p w14:paraId="1C42DDE0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rFonts w:eastAsia="Calibri"/>
                <w:b w:val="0"/>
                <w:bCs w:val="0"/>
                <w:noProof/>
                <w:color w:val="auto"/>
                <w:sz w:val="22"/>
                <w:szCs w:val="22"/>
                <w:highlight w:val="yellow"/>
              </w:rPr>
              <w:t>[*]</w:t>
            </w:r>
          </w:p>
        </w:tc>
      </w:tr>
      <w:tr w:rsidR="00AC7E28" w:rsidRPr="00AC7E28" w14:paraId="5361D362" w14:textId="77777777" w:rsidTr="006F4C2F">
        <w:tc>
          <w:tcPr>
            <w:tcW w:w="5131" w:type="dxa"/>
          </w:tcPr>
          <w:p w14:paraId="4E4EA13B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  <w:r w:rsidRPr="00AC7E28">
              <w:rPr>
                <w:b w:val="0"/>
                <w:bCs w:val="0"/>
                <w:color w:val="auto"/>
              </w:rPr>
              <w:t>Podpis</w:t>
            </w:r>
          </w:p>
        </w:tc>
        <w:tc>
          <w:tcPr>
            <w:tcW w:w="5068" w:type="dxa"/>
          </w:tcPr>
          <w:p w14:paraId="398C388A" w14:textId="77777777" w:rsidR="00AC7E28" w:rsidRPr="00AC7E28" w:rsidRDefault="00AC7E28" w:rsidP="006F4C2F">
            <w:pPr>
              <w:pStyle w:val="Nzovtabuky0"/>
              <w:rPr>
                <w:b w:val="0"/>
                <w:bCs w:val="0"/>
                <w:color w:val="auto"/>
              </w:rPr>
            </w:pPr>
          </w:p>
        </w:tc>
      </w:tr>
    </w:tbl>
    <w:p w14:paraId="6AF73ADA" w14:textId="77777777" w:rsidR="00AC7E28" w:rsidRPr="00AC7E28" w:rsidRDefault="00AC7E28" w:rsidP="00AC7E28">
      <w:pPr>
        <w:pStyle w:val="Zkladntext1"/>
        <w:spacing w:line="252" w:lineRule="auto"/>
        <w:jc w:val="both"/>
        <w:rPr>
          <w:rFonts w:ascii="Arial" w:hAnsi="Arial" w:cs="Arial"/>
          <w:color w:val="000000" w:themeColor="text1"/>
        </w:rPr>
      </w:pPr>
    </w:p>
    <w:p w14:paraId="2999BEBF" w14:textId="77777777" w:rsidR="00AC7E28" w:rsidRPr="00AC7E28" w:rsidRDefault="00AC7E28" w:rsidP="00AC7E28">
      <w:pPr>
        <w:jc w:val="right"/>
        <w:rPr>
          <w:rFonts w:ascii="Arial" w:hAnsi="Arial" w:cs="Arial"/>
        </w:rPr>
      </w:pPr>
    </w:p>
    <w:p w14:paraId="0A37817A" w14:textId="77777777" w:rsidR="00AC7E28" w:rsidRPr="00AC7E28" w:rsidRDefault="00AC7E28" w:rsidP="00AC7E28">
      <w:pPr>
        <w:rPr>
          <w:rFonts w:ascii="Arial" w:hAnsi="Arial" w:cs="Arial"/>
        </w:rPr>
      </w:pPr>
    </w:p>
    <w:p w14:paraId="0E6EE1DE" w14:textId="77777777" w:rsidR="00AC7E28" w:rsidRPr="00AC7E28" w:rsidRDefault="00AC7E28" w:rsidP="00AC7E28">
      <w:pPr>
        <w:rPr>
          <w:rFonts w:ascii="Arial" w:hAnsi="Arial" w:cs="Arial"/>
        </w:rPr>
      </w:pPr>
    </w:p>
    <w:p w14:paraId="17FE2286" w14:textId="77777777" w:rsidR="00D173B5" w:rsidRPr="00C14F8D" w:rsidRDefault="00D173B5" w:rsidP="006810FB">
      <w:pPr>
        <w:pStyle w:val="TeloA"/>
        <w:ind w:left="-142"/>
        <w:rPr>
          <w:rFonts w:ascii="Arial" w:hAnsi="Arial" w:cs="Arial"/>
          <w:sz w:val="20"/>
          <w:szCs w:val="20"/>
        </w:rPr>
      </w:pPr>
    </w:p>
    <w:sectPr w:rsidR="00D173B5" w:rsidRPr="00C14F8D" w:rsidSect="006810FB">
      <w:headerReference w:type="default" r:id="rId8"/>
      <w:footerReference w:type="default" r:id="rId9"/>
      <w:pgSz w:w="11900" w:h="16840"/>
      <w:pgMar w:top="3154" w:right="1134" w:bottom="2072" w:left="1134" w:header="2160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028D" w14:textId="77777777" w:rsidR="007002CB" w:rsidRDefault="007002CB">
      <w:r>
        <w:separator/>
      </w:r>
    </w:p>
  </w:endnote>
  <w:endnote w:type="continuationSeparator" w:id="0">
    <w:p w14:paraId="04701CA5" w14:textId="77777777" w:rsidR="007002CB" w:rsidRDefault="0070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C1CD" w14:textId="6E32714E" w:rsidR="005B342E" w:rsidRPr="006810FB" w:rsidRDefault="006810FB" w:rsidP="006810FB">
    <w:pPr>
      <w:pStyle w:val="Pta"/>
      <w:spacing w:line="276" w:lineRule="auto"/>
      <w:ind w:left="-284" w:right="-149"/>
      <w:jc w:val="both"/>
      <w:rPr>
        <w:rFonts w:ascii="Arial" w:hAnsi="Arial" w:cs="Arial"/>
        <w:noProof/>
        <w:color w:val="0B518A"/>
        <w:sz w:val="20"/>
        <w:szCs w:val="20"/>
      </w:rPr>
    </w:pPr>
    <w:r w:rsidRPr="006810FB">
      <w:rPr>
        <w:rFonts w:ascii="Arial" w:hAnsi="Arial" w:cs="Arial"/>
        <w:b/>
        <w:bCs/>
        <w:noProof/>
        <w:color w:val="0B518A"/>
        <w:sz w:val="20"/>
        <w:szCs w:val="20"/>
      </w:rPr>
      <w:t xml:space="preserve">UCED </w:t>
    </w:r>
    <w:r w:rsidR="005B342E" w:rsidRPr="006810FB">
      <w:rPr>
        <w:rFonts w:ascii="Arial" w:hAnsi="Arial" w:cs="Arial"/>
        <w:b/>
        <w:bCs/>
        <w:noProof/>
        <w:color w:val="0B518A"/>
        <w:sz w:val="20"/>
        <w:szCs w:val="20"/>
      </w:rPr>
      <w:t>Snina s. r. o.</w:t>
    </w:r>
    <w:r w:rsidR="005B342E" w:rsidRPr="006810FB">
      <w:rPr>
        <w:rFonts w:ascii="Arial" w:hAnsi="Arial" w:cs="Arial"/>
        <w:noProof/>
        <w:color w:val="0B518A"/>
        <w:sz w:val="20"/>
        <w:szCs w:val="20"/>
      </w:rPr>
      <w:t>, Strojárska 4455/89</w:t>
    </w:r>
    <w:r w:rsidR="004212BC" w:rsidRPr="006810FB">
      <w:rPr>
        <w:rFonts w:ascii="Arial" w:hAnsi="Arial" w:cs="Arial"/>
        <w:noProof/>
        <w:color w:val="0B518A"/>
        <w:sz w:val="20"/>
        <w:szCs w:val="20"/>
      </w:rPr>
      <w:t>A</w:t>
    </w:r>
    <w:r w:rsidR="005B342E" w:rsidRPr="006810FB">
      <w:rPr>
        <w:rFonts w:ascii="Arial" w:hAnsi="Arial" w:cs="Arial"/>
        <w:noProof/>
        <w:color w:val="0B518A"/>
        <w:sz w:val="20"/>
        <w:szCs w:val="20"/>
      </w:rPr>
      <w:t>, 069 01 Snina</w:t>
    </w:r>
  </w:p>
  <w:p w14:paraId="6CE7D27B" w14:textId="798DAFD7" w:rsidR="006810FB" w:rsidRDefault="005B342E" w:rsidP="006810FB">
    <w:pPr>
      <w:pStyle w:val="Pta"/>
      <w:spacing w:line="276" w:lineRule="auto"/>
      <w:ind w:left="-284" w:right="-149"/>
      <w:jc w:val="both"/>
      <w:rPr>
        <w:rFonts w:ascii="Arial" w:hAnsi="Arial" w:cs="Arial"/>
        <w:color w:val="0B518A"/>
        <w:sz w:val="20"/>
        <w:szCs w:val="20"/>
      </w:rPr>
    </w:pPr>
    <w:r w:rsidRPr="006810FB">
      <w:rPr>
        <w:rFonts w:ascii="Arial" w:hAnsi="Arial" w:cs="Arial"/>
        <w:b/>
        <w:bCs/>
        <w:color w:val="55BCCC"/>
        <w:sz w:val="20"/>
        <w:szCs w:val="20"/>
      </w:rPr>
      <w:t>Tel.: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+421 57 2424 300 | </w:t>
    </w:r>
    <w:r w:rsidRPr="006810FB">
      <w:rPr>
        <w:rFonts w:ascii="Arial" w:hAnsi="Arial" w:cs="Arial"/>
        <w:b/>
        <w:bCs/>
        <w:color w:val="55BCCC"/>
        <w:sz w:val="20"/>
        <w:szCs w:val="20"/>
      </w:rPr>
      <w:t>email: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hyperlink r:id="rId1" w:history="1">
      <w:r w:rsidR="006810FB" w:rsidRPr="006810FB">
        <w:rPr>
          <w:rStyle w:val="Hypertextovprepojenie"/>
          <w:rFonts w:ascii="Arial" w:hAnsi="Arial" w:cs="Arial"/>
          <w:color w:val="0B518A"/>
          <w:sz w:val="20"/>
          <w:szCs w:val="20"/>
        </w:rPr>
        <w:t>info@sninaenergy.sk</w:t>
      </w:r>
    </w:hyperlink>
  </w:p>
  <w:p w14:paraId="6E5CF69C" w14:textId="702FFB60" w:rsidR="006810FB" w:rsidRPr="006810FB" w:rsidRDefault="006810FB" w:rsidP="006810FB">
    <w:pPr>
      <w:pStyle w:val="Pta"/>
      <w:spacing w:line="276" w:lineRule="auto"/>
      <w:ind w:left="-284" w:right="-149"/>
      <w:jc w:val="both"/>
      <w:rPr>
        <w:rFonts w:ascii="Arial" w:hAnsi="Arial" w:cs="Arial"/>
        <w:color w:val="0B518A"/>
        <w:sz w:val="20"/>
        <w:szCs w:val="20"/>
      </w:rPr>
    </w:pPr>
    <w:r w:rsidRPr="006810FB">
      <w:rPr>
        <w:rFonts w:ascii="Arial" w:hAnsi="Arial" w:cs="Arial"/>
        <w:b/>
        <w:bCs/>
        <w:color w:val="55BCCC"/>
        <w:sz w:val="20"/>
        <w:szCs w:val="20"/>
      </w:rPr>
      <w:t>IČO: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 xml:space="preserve">46 857 </w:t>
    </w:r>
    <w:proofErr w:type="gramStart"/>
    <w:r w:rsidRPr="006810FB">
      <w:rPr>
        <w:rFonts w:ascii="Arial" w:hAnsi="Arial" w:cs="Arial"/>
        <w:color w:val="0B518A"/>
        <w:sz w:val="20"/>
        <w:szCs w:val="20"/>
      </w:rPr>
      <w:t xml:space="preserve">249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>|</w:t>
    </w:r>
    <w:proofErr w:type="gramEnd"/>
    <w:r w:rsidRPr="006810FB">
      <w:rPr>
        <w:rFonts w:ascii="Arial" w:hAnsi="Arial" w:cs="Arial"/>
        <w:color w:val="0B518A"/>
        <w:sz w:val="20"/>
        <w:szCs w:val="20"/>
      </w:rPr>
      <w:t xml:space="preserve">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b/>
        <w:bCs/>
        <w:color w:val="55BCCC"/>
        <w:sz w:val="20"/>
        <w:szCs w:val="20"/>
      </w:rPr>
      <w:t>DIČ: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proofErr w:type="gramStart"/>
    <w:r w:rsidRPr="006810FB">
      <w:rPr>
        <w:rFonts w:ascii="Arial" w:hAnsi="Arial" w:cs="Arial"/>
        <w:color w:val="0B518A"/>
        <w:sz w:val="20"/>
        <w:szCs w:val="20"/>
      </w:rPr>
      <w:t xml:space="preserve">2023687182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>|</w:t>
    </w:r>
    <w:proofErr w:type="gramEnd"/>
    <w:r w:rsidRPr="006810FB">
      <w:rPr>
        <w:rFonts w:ascii="Arial" w:hAnsi="Arial" w:cs="Arial"/>
        <w:color w:val="0B518A"/>
        <w:sz w:val="20"/>
        <w:szCs w:val="20"/>
      </w:rPr>
      <w:t xml:space="preserve"> </w:t>
    </w:r>
    <w:r>
      <w:rPr>
        <w:rFonts w:ascii="Arial" w:hAnsi="Arial" w:cs="Arial"/>
        <w:color w:val="0B518A"/>
        <w:sz w:val="20"/>
        <w:szCs w:val="20"/>
      </w:rPr>
      <w:t xml:space="preserve"> </w:t>
    </w:r>
    <w:r w:rsidRPr="006810FB">
      <w:rPr>
        <w:rFonts w:ascii="Arial" w:hAnsi="Arial" w:cs="Arial"/>
        <w:b/>
        <w:bCs/>
        <w:color w:val="55BCCC"/>
        <w:sz w:val="20"/>
        <w:szCs w:val="20"/>
      </w:rPr>
      <w:t>IČ DPH:</w:t>
    </w:r>
    <w:r w:rsidRPr="006810FB">
      <w:rPr>
        <w:rFonts w:ascii="Arial" w:hAnsi="Arial" w:cs="Arial"/>
        <w:color w:val="55BCCC"/>
        <w:sz w:val="20"/>
        <w:szCs w:val="20"/>
      </w:rPr>
      <w:t xml:space="preserve"> </w:t>
    </w:r>
    <w:r w:rsidRPr="006810FB">
      <w:rPr>
        <w:rFonts w:ascii="Arial" w:hAnsi="Arial" w:cs="Arial"/>
        <w:color w:val="0B518A"/>
        <w:sz w:val="20"/>
        <w:szCs w:val="20"/>
      </w:rPr>
      <w:t>SK2023687182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73CA" w14:textId="77777777" w:rsidR="007002CB" w:rsidRDefault="007002CB">
      <w:r>
        <w:separator/>
      </w:r>
    </w:p>
  </w:footnote>
  <w:footnote w:type="continuationSeparator" w:id="0">
    <w:p w14:paraId="56448AF5" w14:textId="77777777" w:rsidR="007002CB" w:rsidRDefault="0070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ED30" w14:textId="2444B640" w:rsidR="00D173B5" w:rsidRDefault="006810FB">
    <w:pPr>
      <w:pStyle w:val="Telo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5408" behindDoc="1" locked="0" layoutInCell="1" allowOverlap="1" wp14:anchorId="00FC9EC7" wp14:editId="3DB5B573">
          <wp:simplePos x="0" y="0"/>
          <wp:positionH relativeFrom="column">
            <wp:posOffset>-123987</wp:posOffset>
          </wp:positionH>
          <wp:positionV relativeFrom="paragraph">
            <wp:posOffset>-786765</wp:posOffset>
          </wp:positionV>
          <wp:extent cx="1778082" cy="796925"/>
          <wp:effectExtent l="0" t="0" r="0" b="3175"/>
          <wp:wrapNone/>
          <wp:docPr id="1791939480" name="Obrázok 3" descr="Obrázok, na ktorom je text, grafika, písmo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680990" name="Obrázok 3" descr="Obrázok, na ktorom je text, grafika, písmo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82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B5"/>
    <w:rsid w:val="00115EC3"/>
    <w:rsid w:val="002B2D0B"/>
    <w:rsid w:val="003C6A6D"/>
    <w:rsid w:val="004212BC"/>
    <w:rsid w:val="004D350C"/>
    <w:rsid w:val="005B342E"/>
    <w:rsid w:val="00677771"/>
    <w:rsid w:val="006810FB"/>
    <w:rsid w:val="007002CB"/>
    <w:rsid w:val="00726CA7"/>
    <w:rsid w:val="008F008D"/>
    <w:rsid w:val="00A03F21"/>
    <w:rsid w:val="00AC7E28"/>
    <w:rsid w:val="00C14F8D"/>
    <w:rsid w:val="00C94E24"/>
    <w:rsid w:val="00CA4DF6"/>
    <w:rsid w:val="00CB1C52"/>
    <w:rsid w:val="00CC798A"/>
    <w:rsid w:val="00D1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6F179"/>
  <w15:docId w15:val="{F3AF5FF9-84C7-3D42-9C50-08E07AA6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lavika">
    <w:name w:val="header"/>
    <w:basedOn w:val="Normlny"/>
    <w:link w:val="HlavikaChar"/>
    <w:uiPriority w:val="99"/>
    <w:unhideWhenUsed/>
    <w:rsid w:val="00CA4D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4DF6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CA4D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4DF6"/>
    <w:rPr>
      <w:sz w:val="24"/>
      <w:szCs w:val="24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810FB"/>
    <w:rPr>
      <w:color w:val="605E5C"/>
      <w:shd w:val="clear" w:color="auto" w:fill="E1DFDD"/>
    </w:rPr>
  </w:style>
  <w:style w:type="character" w:customStyle="1" w:styleId="Zkladntext3">
    <w:name w:val="Základný text (3)_"/>
    <w:basedOn w:val="Predvolenpsmoodseku"/>
    <w:link w:val="Zkladntext30"/>
    <w:rsid w:val="00AC7E28"/>
    <w:rPr>
      <w:rFonts w:ascii="Calibri" w:eastAsia="Calibri" w:hAnsi="Calibri" w:cs="Calibri"/>
      <w:b/>
      <w:bCs/>
      <w:color w:val="153F8F"/>
      <w:sz w:val="36"/>
      <w:szCs w:val="36"/>
    </w:rPr>
  </w:style>
  <w:style w:type="paragraph" w:customStyle="1" w:styleId="Zkladntext30">
    <w:name w:val="Základný text (3)"/>
    <w:basedOn w:val="Normlny"/>
    <w:link w:val="Zkladntext3"/>
    <w:rsid w:val="00AC7E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Calibri" w:eastAsia="Calibri" w:hAnsi="Calibri" w:cs="Calibri"/>
      <w:b/>
      <w:bCs/>
      <w:color w:val="153F8F"/>
      <w:sz w:val="36"/>
      <w:szCs w:val="36"/>
      <w:lang w:val="sk-SK" w:eastAsia="sk-SK"/>
    </w:rPr>
  </w:style>
  <w:style w:type="character" w:customStyle="1" w:styleId="Zkladntext">
    <w:name w:val="Základný text_"/>
    <w:basedOn w:val="Predvolenpsmoodseku"/>
    <w:link w:val="Zkladntext1"/>
    <w:rsid w:val="00AC7E28"/>
    <w:rPr>
      <w:rFonts w:ascii="Arial Narrow" w:eastAsia="Arial Narrow" w:hAnsi="Arial Narrow" w:cs="Arial Narrow"/>
      <w:color w:val="6D6E71"/>
    </w:rPr>
  </w:style>
  <w:style w:type="paragraph" w:customStyle="1" w:styleId="Zkladntext1">
    <w:name w:val="Základný text1"/>
    <w:basedOn w:val="Normlny"/>
    <w:link w:val="Zkladntext"/>
    <w:rsid w:val="00AC7E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Arial Narrow" w:eastAsia="Arial Narrow" w:hAnsi="Arial Narrow" w:cs="Arial Narrow"/>
      <w:color w:val="6D6E71"/>
      <w:sz w:val="20"/>
      <w:szCs w:val="20"/>
      <w:lang w:val="sk-SK" w:eastAsia="sk-SK"/>
    </w:rPr>
  </w:style>
  <w:style w:type="character" w:customStyle="1" w:styleId="Nzovtabuky">
    <w:name w:val="Názov tabuľky_"/>
    <w:basedOn w:val="Predvolenpsmoodseku"/>
    <w:link w:val="Nzovtabuky0"/>
    <w:rsid w:val="00AC7E28"/>
    <w:rPr>
      <w:rFonts w:ascii="Arial" w:eastAsia="Arial" w:hAnsi="Arial" w:cs="Arial"/>
      <w:b/>
      <w:bCs/>
      <w:color w:val="A90433"/>
    </w:rPr>
  </w:style>
  <w:style w:type="paragraph" w:customStyle="1" w:styleId="Nzovtabuky0">
    <w:name w:val="Názov tabuľky"/>
    <w:basedOn w:val="Normlny"/>
    <w:link w:val="Nzovtabuky"/>
    <w:rsid w:val="00AC7E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52" w:lineRule="auto"/>
    </w:pPr>
    <w:rPr>
      <w:rFonts w:ascii="Arial" w:eastAsia="Arial" w:hAnsi="Arial" w:cs="Arial"/>
      <w:b/>
      <w:bCs/>
      <w:color w:val="A90433"/>
      <w:sz w:val="20"/>
      <w:szCs w:val="20"/>
      <w:lang w:val="sk-SK" w:eastAsia="sk-SK"/>
    </w:rPr>
  </w:style>
  <w:style w:type="table" w:styleId="Mriekatabuky">
    <w:name w:val="Table Grid"/>
    <w:basedOn w:val="Normlnatabuka"/>
    <w:uiPriority w:val="39"/>
    <w:rsid w:val="00AC7E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Arial Unicode MS" w:hAnsi="Arial Unicode MS" w:cs="Arial Unicode MS"/>
      <w:sz w:val="24"/>
      <w:szCs w:val="24"/>
      <w:bdr w:val="none" w:sz="0" w:space="0" w:color="auto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ninaenerg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pr@uced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ninaenergy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Gutman</cp:lastModifiedBy>
  <cp:revision>6</cp:revision>
  <dcterms:created xsi:type="dcterms:W3CDTF">2025-08-04T13:17:00Z</dcterms:created>
  <dcterms:modified xsi:type="dcterms:W3CDTF">2025-09-22T11:35:00Z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2025-08-04T13:17:12Z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bda8dd47-b5dc-4ae7-adc8-501150aa1645</vt:lpwstr>
  </property>
  <property fmtid="{D5CDD505-2E9C-101B-9397-08002B2CF9AE}" pid="8" name="MSIP_Label_1ea58481-6ef0-43ed-8437-8904ff01e57a_ContentBits">
    <vt:lpwstr>0</vt:lpwstr>
  </property>
  <property fmtid="{D5CDD505-2E9C-101B-9397-08002B2CF9AE}" pid="9" name="MSIP_Label_1ea58481-6ef0-43ed-8437-8904ff01e57a_Tag">
    <vt:lpwstr>10, 3, 0, 1</vt:lpwstr>
  </property>
</Properties>
</file>